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456CEC72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253563" w:rsidRPr="00253563">
        <w:rPr>
          <w:rFonts w:ascii="Arial" w:hAnsi="Arial" w:cs="Arial"/>
          <w:b/>
          <w:kern w:val="1"/>
        </w:rPr>
        <w:t>Revitalizace objektu Orlická 1 a 3 – předprojektová a projektová dokumentace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A6236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380A3" w14:textId="77777777" w:rsidR="006118E9" w:rsidRDefault="006118E9" w:rsidP="00E5046A">
      <w:pPr>
        <w:spacing w:after="0" w:line="240" w:lineRule="auto"/>
      </w:pPr>
      <w:r>
        <w:separator/>
      </w:r>
    </w:p>
  </w:endnote>
  <w:endnote w:type="continuationSeparator" w:id="0">
    <w:p w14:paraId="7D640927" w14:textId="77777777" w:rsidR="006118E9" w:rsidRDefault="006118E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EE39" w14:textId="77777777" w:rsidR="00C12EBB" w:rsidRPr="008239B9" w:rsidRDefault="00C12EBB" w:rsidP="00C12EBB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3953B77B" w14:textId="77777777" w:rsidR="00C12EBB" w:rsidRPr="008239B9" w:rsidRDefault="00C12EBB" w:rsidP="00C12EBB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Style w:val="Zdraznn"/>
        <w:rFonts w:eastAsiaTheme="majorEastAsia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color w:val="000000"/>
        <w:sz w:val="16"/>
        <w:szCs w:val="16"/>
      </w:rPr>
      <w:t xml:space="preserve"> </w:t>
    </w:r>
    <w:r w:rsidRPr="008239B9">
      <w:rPr>
        <w:rStyle w:val="Zdraznn"/>
        <w:rFonts w:eastAsiaTheme="majorEastAsia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lies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with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that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may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be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>.”</w:t>
    </w:r>
  </w:p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9FA1" w14:textId="77777777" w:rsidR="00C12EBB" w:rsidRPr="008239B9" w:rsidRDefault="00C12EBB" w:rsidP="00C12EBB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689B2FF5" w14:textId="704B4BB9" w:rsidR="00E5046A" w:rsidRPr="00C12EBB" w:rsidRDefault="00C12EBB" w:rsidP="00C12EBB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Style w:val="Zdraznn"/>
        <w:rFonts w:eastAsiaTheme="majorEastAsia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color w:val="000000"/>
        <w:sz w:val="16"/>
        <w:szCs w:val="16"/>
      </w:rPr>
      <w:t xml:space="preserve"> </w:t>
    </w:r>
    <w:r w:rsidRPr="008239B9">
      <w:rPr>
        <w:rStyle w:val="Zdraznn"/>
        <w:rFonts w:eastAsiaTheme="majorEastAsia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lies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with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is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that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may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be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eastAsiaTheme="majorEastAsia"/>
        <w:color w:val="000000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738FD" w14:textId="77777777" w:rsidR="006118E9" w:rsidRDefault="006118E9" w:rsidP="00E5046A">
      <w:pPr>
        <w:spacing w:after="0" w:line="240" w:lineRule="auto"/>
      </w:pPr>
      <w:r>
        <w:separator/>
      </w:r>
    </w:p>
  </w:footnote>
  <w:footnote w:type="continuationSeparator" w:id="0">
    <w:p w14:paraId="6158BE7A" w14:textId="77777777" w:rsidR="006118E9" w:rsidRDefault="006118E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CBC10" w14:textId="77777777" w:rsidR="00C12EBB" w:rsidRDefault="00C12EBB" w:rsidP="00C12EBB">
    <w:pPr>
      <w:pStyle w:val="Zhlav"/>
    </w:pPr>
    <w:r>
      <w:rPr>
        <w:noProof/>
      </w:rPr>
      <w:drawing>
        <wp:inline distT="0" distB="0" distL="0" distR="0" wp14:anchorId="29CE508E" wp14:editId="6AF510C1">
          <wp:extent cx="1066800" cy="495300"/>
          <wp:effectExtent l="0" t="0" r="0" b="0"/>
          <wp:docPr id="738580325" name="Obrázek 1" descr="Obsah obrázku text, logo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80325" name="Obrázek 1" descr="Obsah obrázku text, logo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5690ACA8" wp14:editId="073C7C48">
          <wp:extent cx="1031240" cy="687493"/>
          <wp:effectExtent l="0" t="0" r="0" b="0"/>
          <wp:docPr id="100396026" name="Obrázek 2" descr="Obsah obrázku vlajka, hvězda, symbol,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6026" name="Obrázek 2" descr="Obsah obrázku vlajka, hvězda, symbol,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91" cy="71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D79E75" w14:textId="77777777" w:rsidR="00C12EBB" w:rsidRDefault="00C12EBB" w:rsidP="00C12EBB">
    <w:pPr>
      <w:pStyle w:val="Zhlav"/>
      <w:tabs>
        <w:tab w:val="left" w:pos="2085"/>
      </w:tabs>
      <w:rPr>
        <w:rStyle w:val="Zdraznn"/>
        <w:color w:val="000000"/>
        <w:sz w:val="13"/>
        <w:szCs w:val="13"/>
      </w:rPr>
    </w:pPr>
    <w:r>
      <w:tab/>
    </w:r>
    <w:r>
      <w:tab/>
    </w:r>
    <w:r>
      <w:tab/>
    </w:r>
    <w:r w:rsidRPr="008239B9">
      <w:rPr>
        <w:rStyle w:val="Zdraznn"/>
        <w:color w:val="000000"/>
        <w:sz w:val="13"/>
        <w:szCs w:val="13"/>
      </w:rPr>
      <w:t>Co-</w:t>
    </w:r>
    <w:proofErr w:type="spellStart"/>
    <w:r w:rsidRPr="008239B9">
      <w:rPr>
        <w:rStyle w:val="Zdraznn"/>
        <w:color w:val="000000"/>
        <w:sz w:val="13"/>
        <w:szCs w:val="13"/>
      </w:rPr>
      <w:t>financed</w:t>
    </w:r>
    <w:proofErr w:type="spellEnd"/>
    <w:r w:rsidRPr="008239B9">
      <w:rPr>
        <w:rStyle w:val="Zdraznn"/>
        <w:color w:val="000000"/>
        <w:sz w:val="13"/>
        <w:szCs w:val="13"/>
      </w:rPr>
      <w:t xml:space="preserve"> by </w:t>
    </w:r>
    <w:proofErr w:type="spellStart"/>
    <w:r w:rsidRPr="008239B9">
      <w:rPr>
        <w:rStyle w:val="Zdraznn"/>
        <w:color w:val="000000"/>
        <w:sz w:val="13"/>
        <w:szCs w:val="13"/>
      </w:rPr>
      <w:t>the</w:t>
    </w:r>
    <w:proofErr w:type="spellEnd"/>
    <w:r w:rsidRPr="008239B9">
      <w:rPr>
        <w:rStyle w:val="Zdraznn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color w:val="000000"/>
        <w:sz w:val="13"/>
        <w:szCs w:val="13"/>
      </w:rPr>
      <w:t>European</w:t>
    </w:r>
    <w:proofErr w:type="spellEnd"/>
    <w:r w:rsidRPr="008239B9">
      <w:rPr>
        <w:rStyle w:val="Zdraznn"/>
        <w:color w:val="000000"/>
        <w:sz w:val="13"/>
        <w:szCs w:val="13"/>
      </w:rPr>
      <w:t xml:space="preserve"> Union </w:t>
    </w:r>
    <w:proofErr w:type="spellStart"/>
    <w:r w:rsidRPr="008239B9">
      <w:rPr>
        <w:rStyle w:val="Zdraznn"/>
        <w:color w:val="000000"/>
        <w:sz w:val="13"/>
        <w:szCs w:val="13"/>
      </w:rPr>
      <w:t>under</w:t>
    </w:r>
    <w:proofErr w:type="spellEnd"/>
    <w:r w:rsidRPr="008239B9">
      <w:rPr>
        <w:rStyle w:val="Zdraznn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color w:val="000000"/>
        <w:sz w:val="13"/>
        <w:szCs w:val="13"/>
      </w:rPr>
      <w:t>the</w:t>
    </w:r>
    <w:proofErr w:type="spellEnd"/>
    <w:r w:rsidRPr="008239B9">
      <w:rPr>
        <w:rStyle w:val="Zdraznn"/>
        <w:color w:val="000000"/>
        <w:sz w:val="13"/>
        <w:szCs w:val="13"/>
      </w:rPr>
      <w:t xml:space="preserve"> ELENA Facility</w:t>
    </w:r>
  </w:p>
  <w:p w14:paraId="0AA961C7" w14:textId="12431DD7" w:rsidR="00666D77" w:rsidRPr="00C12EBB" w:rsidRDefault="00C12EBB" w:rsidP="00C12EBB">
    <w:pPr>
      <w:pStyle w:val="Zhlav"/>
      <w:rPr>
        <w:sz w:val="15"/>
        <w:szCs w:val="15"/>
      </w:rPr>
    </w:pPr>
    <w:r>
      <w:rPr>
        <w:rStyle w:val="Zdraznn"/>
        <w:color w:val="000000"/>
        <w:sz w:val="13"/>
        <w:szCs w:val="13"/>
      </w:rPr>
      <w:tab/>
    </w:r>
    <w:r>
      <w:rPr>
        <w:rStyle w:val="Zdraznn"/>
        <w:color w:val="000000"/>
        <w:sz w:val="13"/>
        <w:szCs w:val="13"/>
      </w:rPr>
      <w:tab/>
    </w:r>
    <w:r w:rsidRPr="00C74F23">
      <w:rPr>
        <w:rFonts w:ascii="Arial" w:hAnsi="Arial" w:cs="Arial"/>
        <w:i/>
        <w:iCs/>
        <w:color w:val="000000"/>
        <w:sz w:val="13"/>
        <w:szCs w:val="13"/>
      </w:rPr>
      <w:t>Co-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funded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by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InvestEU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Advisory Hub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of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European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Union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1173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118E9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145F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2EBB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Zdraznn">
    <w:name w:val="Emphasis"/>
    <w:basedOn w:val="Standardnpsmoodstavce"/>
    <w:uiPriority w:val="20"/>
    <w:qFormat/>
    <w:rsid w:val="00C12EBB"/>
    <w:rPr>
      <w:i/>
      <w:iCs/>
    </w:rPr>
  </w:style>
  <w:style w:type="paragraph" w:styleId="Normlnweb">
    <w:name w:val="Normal (Web)"/>
    <w:basedOn w:val="Normln"/>
    <w:uiPriority w:val="99"/>
    <w:unhideWhenUsed/>
    <w:rsid w:val="00C12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2025-11-11T13:16:00Z</dcterms:modified>
</cp:coreProperties>
</file>